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72E1A">
      <w:pPr>
        <w:pStyle w:val="9"/>
        <w:pageBreakBefore w:val="0"/>
        <w:wordWrap/>
        <w:topLinePunct w:val="0"/>
        <w:bidi w:val="0"/>
        <w:spacing w:line="520" w:lineRule="exact"/>
        <w:jc w:val="center"/>
        <w:outlineLvl w:val="1"/>
        <w:rPr>
          <w:rFonts w:hint="eastAsia" w:ascii="仿宋" w:hAnsi="仿宋" w:eastAsia="仿宋" w:cs="仿宋"/>
          <w:color w:val="auto"/>
        </w:rPr>
      </w:pPr>
      <w:r>
        <w:rPr>
          <w:rFonts w:hint="eastAsia" w:ascii="仿宋" w:hAnsi="仿宋" w:eastAsia="仿宋" w:cs="仿宋"/>
          <w:b/>
          <w:color w:val="auto"/>
          <w:sz w:val="36"/>
        </w:rPr>
        <w:t>第八章 拟签订采购合同文本</w:t>
      </w:r>
    </w:p>
    <w:p w14:paraId="2F0E402B">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3EADC266">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44AE9DE7">
      <w:pPr>
        <w:outlineLvl w:val="9"/>
        <w:rPr>
          <w:rFonts w:hint="eastAsia" w:ascii="仿宋" w:hAnsi="仿宋" w:eastAsia="仿宋" w:cs="仿宋"/>
          <w:color w:val="auto"/>
        </w:rPr>
      </w:pPr>
    </w:p>
    <w:p w14:paraId="431EC0D9">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40"/>
          <w:szCs w:val="48"/>
          <w:highlight w:val="none"/>
          <w:lang w:eastAsia="zh-CN"/>
        </w:rPr>
        <w:t>2026年城市二次供水和农村集中供水工程水质检测</w:t>
      </w:r>
    </w:p>
    <w:p w14:paraId="75CE055B">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0CC8694F">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784057F3">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38F8D89B">
      <w:pPr>
        <w:outlineLvl w:val="9"/>
        <w:rPr>
          <w:rFonts w:hint="eastAsia" w:ascii="仿宋" w:hAnsi="仿宋" w:eastAsia="仿宋" w:cs="仿宋"/>
          <w:color w:val="auto"/>
        </w:rPr>
      </w:pPr>
    </w:p>
    <w:p w14:paraId="26E68E12">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合 同</w:t>
      </w:r>
    </w:p>
    <w:p w14:paraId="0BFAD3B1">
      <w:pPr>
        <w:pStyle w:val="3"/>
        <w:keepNext w:val="0"/>
        <w:keepLines w:val="0"/>
        <w:pageBreakBefore w:val="0"/>
        <w:widowControl/>
        <w:kinsoku/>
        <w:wordWrap/>
        <w:overflowPunct w:val="0"/>
        <w:topLinePunct w:val="0"/>
        <w:autoSpaceDE w:val="0"/>
        <w:autoSpaceDN w:val="0"/>
        <w:bidi w:val="0"/>
        <w:adjustRightInd w:val="0"/>
        <w:snapToGrid w:val="0"/>
        <w:spacing w:line="520" w:lineRule="exact"/>
        <w:ind w:firstLine="0"/>
        <w:textAlignment w:val="baseline"/>
        <w:rPr>
          <w:rFonts w:hint="eastAsia" w:ascii="仿宋" w:hAnsi="仿宋" w:eastAsia="仿宋" w:cs="仿宋"/>
          <w:color w:val="auto"/>
          <w:highlight w:val="none"/>
        </w:rPr>
      </w:pPr>
      <w:r>
        <w:rPr>
          <w:rFonts w:hint="eastAsia" w:ascii="仿宋" w:hAnsi="仿宋" w:eastAsia="仿宋" w:cs="仿宋"/>
          <w:b/>
          <w:color w:val="auto"/>
          <w:kern w:val="0"/>
          <w:sz w:val="24"/>
          <w:szCs w:val="24"/>
          <w:highlight w:val="none"/>
        </w:rPr>
        <w:t>（本格式条款供双方签订合同参考，采购人可根据项目的实际情况增加条款和内容）</w:t>
      </w:r>
    </w:p>
    <w:p w14:paraId="78224F19">
      <w:pPr>
        <w:pageBreakBefore w:val="0"/>
        <w:kinsoku/>
        <w:wordWrap/>
        <w:overflowPunct w:val="0"/>
        <w:topLinePunct w:val="0"/>
        <w:bidi w:val="0"/>
        <w:spacing w:line="520" w:lineRule="exact"/>
        <w:jc w:val="center"/>
        <w:rPr>
          <w:rFonts w:hint="eastAsia" w:ascii="仿宋" w:hAnsi="仿宋" w:eastAsia="仿宋" w:cs="仿宋"/>
          <w:b/>
          <w:color w:val="auto"/>
          <w:sz w:val="48"/>
          <w:szCs w:val="48"/>
          <w:highlight w:val="none"/>
        </w:rPr>
      </w:pPr>
    </w:p>
    <w:p w14:paraId="53B98827">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41A21523">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78CBDB01">
      <w:pPr>
        <w:pageBreakBefore w:val="0"/>
        <w:kinsoku/>
        <w:wordWrap/>
        <w:overflowPunct w:val="0"/>
        <w:topLinePunct w:val="0"/>
        <w:bidi w:val="0"/>
        <w:spacing w:line="52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45557E2">
      <w:pPr>
        <w:pageBreakBefore w:val="0"/>
        <w:kinsoku/>
        <w:wordWrap/>
        <w:overflowPunct w:val="0"/>
        <w:topLinePunct w:val="0"/>
        <w:bidi w:val="0"/>
        <w:spacing w:line="520" w:lineRule="exact"/>
        <w:rPr>
          <w:rFonts w:hint="eastAsia" w:ascii="仿宋" w:hAnsi="仿宋" w:eastAsia="仿宋" w:cs="仿宋"/>
          <w:b/>
          <w:color w:val="auto"/>
          <w:highlight w:val="none"/>
        </w:rPr>
      </w:pPr>
    </w:p>
    <w:p w14:paraId="20779704">
      <w:pPr>
        <w:pageBreakBefore w:val="0"/>
        <w:kinsoku/>
        <w:wordWrap/>
        <w:overflowPunct w:val="0"/>
        <w:topLinePunct w:val="0"/>
        <w:bidi w:val="0"/>
        <w:spacing w:line="520" w:lineRule="exact"/>
        <w:rPr>
          <w:rFonts w:hint="eastAsia" w:ascii="仿宋" w:hAnsi="仿宋" w:eastAsia="仿宋" w:cs="仿宋"/>
          <w:b/>
          <w:color w:val="auto"/>
          <w:highlight w:val="none"/>
        </w:rPr>
      </w:pPr>
    </w:p>
    <w:p w14:paraId="10FC520A">
      <w:pPr>
        <w:pageBreakBefore w:val="0"/>
        <w:kinsoku/>
        <w:wordWrap/>
        <w:overflowPunct w:val="0"/>
        <w:topLinePunct w:val="0"/>
        <w:bidi w:val="0"/>
        <w:spacing w:line="520" w:lineRule="exact"/>
        <w:rPr>
          <w:rFonts w:hint="eastAsia" w:ascii="仿宋" w:hAnsi="仿宋" w:eastAsia="仿宋" w:cs="仿宋"/>
          <w:b/>
          <w:color w:val="auto"/>
          <w:highlight w:val="none"/>
        </w:rPr>
      </w:pPr>
    </w:p>
    <w:p w14:paraId="280FD533">
      <w:pPr>
        <w:pageBreakBefore w:val="0"/>
        <w:kinsoku/>
        <w:wordWrap/>
        <w:overflowPunct w:val="0"/>
        <w:topLinePunct w:val="0"/>
        <w:bidi w:val="0"/>
        <w:spacing w:line="520" w:lineRule="exact"/>
        <w:rPr>
          <w:rFonts w:hint="eastAsia" w:ascii="仿宋" w:hAnsi="仿宋" w:eastAsia="仿宋" w:cs="仿宋"/>
          <w:b/>
          <w:color w:val="auto"/>
          <w:highlight w:val="none"/>
        </w:rPr>
      </w:pPr>
    </w:p>
    <w:p w14:paraId="0055D70C">
      <w:pPr>
        <w:pageBreakBefore w:val="0"/>
        <w:kinsoku/>
        <w:wordWrap/>
        <w:overflowPunct w:val="0"/>
        <w:topLinePunct w:val="0"/>
        <w:bidi w:val="0"/>
        <w:spacing w:line="520" w:lineRule="exact"/>
        <w:rPr>
          <w:rFonts w:hint="eastAsia" w:ascii="仿宋" w:hAnsi="仿宋" w:eastAsia="仿宋" w:cs="仿宋"/>
          <w:b/>
          <w:color w:val="auto"/>
          <w:highlight w:val="none"/>
        </w:rPr>
      </w:pPr>
    </w:p>
    <w:p w14:paraId="1B32292C">
      <w:pPr>
        <w:pageBreakBefore w:val="0"/>
        <w:kinsoku/>
        <w:wordWrap/>
        <w:overflowPunct w:val="0"/>
        <w:topLinePunct w:val="0"/>
        <w:bidi w:val="0"/>
        <w:spacing w:line="520" w:lineRule="exact"/>
        <w:rPr>
          <w:rFonts w:hint="eastAsia" w:ascii="仿宋" w:hAnsi="仿宋" w:eastAsia="仿宋" w:cs="仿宋"/>
          <w:color w:val="auto"/>
          <w:highlight w:val="none"/>
        </w:rPr>
      </w:pPr>
    </w:p>
    <w:p w14:paraId="40FAB276">
      <w:pPr>
        <w:pStyle w:val="4"/>
        <w:pageBreakBefore w:val="0"/>
        <w:kinsoku/>
        <w:wordWrap/>
        <w:overflowPunct w:val="0"/>
        <w:topLinePunct w:val="0"/>
        <w:bidi w:val="0"/>
        <w:spacing w:line="520" w:lineRule="exact"/>
        <w:rPr>
          <w:rFonts w:hint="eastAsia" w:ascii="仿宋" w:hAnsi="仿宋" w:eastAsia="仿宋" w:cs="仿宋"/>
          <w:color w:val="auto"/>
          <w:highlight w:val="none"/>
        </w:rPr>
      </w:pPr>
    </w:p>
    <w:p w14:paraId="237F020C">
      <w:pPr>
        <w:pageBreakBefore w:val="0"/>
        <w:kinsoku/>
        <w:wordWrap/>
        <w:overflowPunct w:val="0"/>
        <w:topLinePunct w:val="0"/>
        <w:bidi w:val="0"/>
        <w:spacing w:line="520" w:lineRule="exact"/>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color w:val="auto"/>
          <w:spacing w:val="23"/>
          <w:sz w:val="28"/>
          <w:szCs w:val="28"/>
          <w:highlight w:val="none"/>
          <w:u w:val="single"/>
        </w:rPr>
        <w:t></w:t>
      </w:r>
    </w:p>
    <w:p w14:paraId="6FA45F87">
      <w:pPr>
        <w:pageBreakBefore w:val="0"/>
        <w:kinsoku/>
        <w:wordWrap/>
        <w:overflowPunct w:val="0"/>
        <w:topLinePunct w:val="0"/>
        <w:bidi w:val="0"/>
        <w:spacing w:line="520" w:lineRule="exact"/>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46B09C4C">
      <w:pPr>
        <w:pageBreakBefore w:val="0"/>
        <w:kinsoku/>
        <w:wordWrap/>
        <w:overflowPunct w:val="0"/>
        <w:topLinePunct w:val="0"/>
        <w:bidi w:val="0"/>
        <w:spacing w:line="520" w:lineRule="exact"/>
        <w:jc w:val="center"/>
        <w:rPr>
          <w:rFonts w:hint="eastAsia" w:ascii="仿宋" w:hAnsi="仿宋" w:eastAsia="仿宋" w:cs="仿宋"/>
          <w:b/>
          <w:bCs/>
          <w:color w:val="auto"/>
          <w:sz w:val="40"/>
          <w:szCs w:val="40"/>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6B8F46A1">
      <w:pPr>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br w:type="page"/>
      </w:r>
    </w:p>
    <w:p w14:paraId="5EFE71DF">
      <w:pPr>
        <w:keepNext w:val="0"/>
        <w:keepLines w:val="0"/>
        <w:pageBreakBefore w:val="0"/>
        <w:widowControl/>
        <w:wordWrap/>
        <w:overflowPunct/>
        <w:topLinePunct w:val="0"/>
        <w:bidi w:val="0"/>
        <w:snapToGrid w:val="0"/>
        <w:spacing w:line="360" w:lineRule="auto"/>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甲方(采购人)：</w:t>
      </w:r>
      <w:r>
        <w:rPr>
          <w:rFonts w:hint="eastAsia" w:ascii="仿宋" w:hAnsi="仿宋" w:eastAsia="仿宋" w:cs="仿宋"/>
          <w:bCs/>
          <w:color w:val="auto"/>
          <w:sz w:val="24"/>
          <w:szCs w:val="24"/>
          <w:u w:val="single"/>
          <w:lang w:bidi="ar"/>
        </w:rPr>
        <w:t xml:space="preserve">                               </w:t>
      </w:r>
    </w:p>
    <w:p w14:paraId="701F5F57">
      <w:pPr>
        <w:keepNext w:val="0"/>
        <w:keepLines w:val="0"/>
        <w:pageBreakBefore w:val="0"/>
        <w:widowControl/>
        <w:wordWrap/>
        <w:overflowPunct/>
        <w:topLinePunct w:val="0"/>
        <w:bidi w:val="0"/>
        <w:snapToGrid w:val="0"/>
        <w:spacing w:line="360" w:lineRule="auto"/>
        <w:jc w:val="left"/>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乙方</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val="en-US" w:eastAsia="zh-CN" w:bidi="ar"/>
        </w:rPr>
        <w:t>供应商</w:t>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u w:val="single"/>
          <w:lang w:bidi="ar"/>
        </w:rPr>
        <w:t xml:space="preserve">                               </w:t>
      </w:r>
    </w:p>
    <w:p w14:paraId="6BEA12E0">
      <w:pPr>
        <w:keepNext w:val="0"/>
        <w:keepLines w:val="0"/>
        <w:pageBreakBefore w:val="0"/>
        <w:widowControl/>
        <w:wordWrap/>
        <w:overflowPunct/>
        <w:topLinePunct w:val="0"/>
        <w:bidi w:val="0"/>
        <w:snapToGrid w:val="0"/>
        <w:spacing w:line="360" w:lineRule="auto"/>
        <w:ind w:right="-195" w:rightChars="-93"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甲乙双方根据</w:t>
      </w:r>
      <w:r>
        <w:rPr>
          <w:rFonts w:hint="eastAsia" w:ascii="仿宋" w:hAnsi="仿宋" w:eastAsia="仿宋" w:cs="仿宋"/>
          <w:color w:val="auto"/>
          <w:kern w:val="0"/>
          <w:sz w:val="24"/>
          <w:szCs w:val="24"/>
          <w:u w:val="single"/>
        </w:rPr>
        <w:t></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u w:val="single"/>
        </w:rPr>
        <w:t></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rPr>
        <w:t></w:t>
      </w:r>
      <w:r>
        <w:rPr>
          <w:rFonts w:hint="eastAsia" w:ascii="仿宋" w:hAnsi="仿宋" w:eastAsia="仿宋" w:cs="仿宋"/>
          <w:color w:val="auto"/>
          <w:kern w:val="0"/>
          <w:sz w:val="24"/>
          <w:szCs w:val="24"/>
        </w:rPr>
        <w:t>日</w:t>
      </w:r>
      <w:r>
        <w:rPr>
          <w:rFonts w:hint="eastAsia" w:ascii="仿宋" w:hAnsi="仿宋" w:eastAsia="仿宋" w:cs="仿宋"/>
          <w:color w:val="auto"/>
          <w:kern w:val="0"/>
          <w:sz w:val="24"/>
          <w:szCs w:val="24"/>
          <w:u w:val="single"/>
        </w:rPr>
        <w:t></w:t>
      </w:r>
      <w:r>
        <w:rPr>
          <w:rFonts w:hint="eastAsia" w:ascii="仿宋" w:hAnsi="仿宋" w:eastAsia="仿宋" w:cs="仿宋"/>
          <w:color w:val="auto"/>
          <w:kern w:val="0"/>
          <w:sz w:val="24"/>
          <w:szCs w:val="24"/>
        </w:rPr>
        <w:t>政府采购项目第</w:t>
      </w:r>
      <w:r>
        <w:rPr>
          <w:rFonts w:hint="eastAsia" w:ascii="仿宋" w:hAnsi="仿宋" w:eastAsia="仿宋" w:cs="仿宋"/>
          <w:color w:val="auto"/>
          <w:kern w:val="0"/>
          <w:sz w:val="24"/>
          <w:szCs w:val="24"/>
          <w:u w:val="single"/>
        </w:rPr>
        <w:t></w:t>
      </w:r>
      <w:r>
        <w:rPr>
          <w:rFonts w:hint="eastAsia" w:ascii="仿宋" w:hAnsi="仿宋" w:eastAsia="仿宋" w:cs="仿宋"/>
          <w:color w:val="auto"/>
          <w:kern w:val="0"/>
          <w:sz w:val="24"/>
          <w:szCs w:val="24"/>
        </w:rPr>
        <w:t>号采购结果及相关磋商</w:t>
      </w:r>
      <w:r>
        <w:rPr>
          <w:rFonts w:hint="eastAsia" w:ascii="仿宋" w:hAnsi="仿宋" w:eastAsia="仿宋" w:cs="仿宋"/>
          <w:color w:val="auto"/>
          <w:kern w:val="0"/>
          <w:sz w:val="24"/>
          <w:szCs w:val="24"/>
        </w:rPr>
        <w:fldChar w:fldCharType="begin"/>
      </w:r>
      <w:r>
        <w:rPr>
          <w:rFonts w:hint="eastAsia" w:ascii="仿宋" w:hAnsi="仿宋" w:eastAsia="仿宋" w:cs="仿宋"/>
          <w:color w:val="auto"/>
          <w:kern w:val="0"/>
          <w:sz w:val="24"/>
          <w:szCs w:val="24"/>
        </w:rPr>
        <w:instrText xml:space="preserve">HYPERLINK "http://set2.mail.qq.com/cgi-bin/mail_spam?action=check_link&amp;spam=0&amp;url=http%3A%2F%2Fwww%2Ebaidu%2Ecom%2Fs%3Fwd%3D%25E6%258A%2595%25E6%25A0%2587%25E6%2596%2587%25E4%25BB%25B6%26hl_tag%3Dtextlink%26tn%3DSE_hldp01350_v6v6zkg6" </w:instrText>
      </w:r>
      <w:r>
        <w:rPr>
          <w:rFonts w:hint="eastAsia" w:ascii="仿宋" w:hAnsi="仿宋" w:eastAsia="仿宋" w:cs="仿宋"/>
          <w:color w:val="auto"/>
          <w:kern w:val="0"/>
          <w:sz w:val="24"/>
          <w:szCs w:val="24"/>
        </w:rPr>
        <w:fldChar w:fldCharType="separate"/>
      </w:r>
      <w:r>
        <w:rPr>
          <w:rFonts w:hint="eastAsia" w:ascii="仿宋" w:hAnsi="仿宋" w:eastAsia="仿宋" w:cs="仿宋"/>
          <w:color w:val="auto"/>
          <w:kern w:val="0"/>
          <w:sz w:val="24"/>
          <w:szCs w:val="24"/>
        </w:rPr>
        <w:t>文件</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及磋商响应文件，本合同经双方友好协商平等、诚信、协作的原则，按照《中华人民共和国民法典》和《中华人民共和国政府采购法》经协商一致，订立本合同，供双方共同遵守：</w:t>
      </w:r>
    </w:p>
    <w:p w14:paraId="597B1014">
      <w:pPr>
        <w:pStyle w:val="10"/>
        <w:keepNext w:val="0"/>
        <w:keepLines w:val="0"/>
        <w:pageBreakBefore w:val="0"/>
        <w:widowControl/>
        <w:wordWrap/>
        <w:overflowPunct/>
        <w:topLinePunct w:val="0"/>
        <w:bidi w:val="0"/>
        <w:snapToGrid w:val="0"/>
        <w:spacing w:line="360" w:lineRule="auto"/>
        <w:ind w:left="1124" w:hanging="964" w:hangingChars="400"/>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第一条  合同约定的内容:</w:t>
      </w:r>
      <w:r>
        <w:rPr>
          <w:rFonts w:hint="eastAsia" w:ascii="仿宋" w:hAnsi="仿宋" w:eastAsia="仿宋" w:cs="仿宋"/>
          <w:b w:val="0"/>
          <w:bCs w:val="0"/>
          <w:color w:val="auto"/>
          <w:sz w:val="24"/>
          <w:szCs w:val="24"/>
          <w:lang w:val="en-US" w:eastAsia="zh-CN"/>
        </w:rPr>
        <w:t>2026年期间对高新区城市二次供水和农村供水进行水质检测</w:t>
      </w:r>
    </w:p>
    <w:p w14:paraId="4B1B1C3D">
      <w:pPr>
        <w:pStyle w:val="10"/>
        <w:keepNext w:val="0"/>
        <w:keepLines w:val="0"/>
        <w:pageBreakBefore w:val="0"/>
        <w:widowControl/>
        <w:wordWrap/>
        <w:overflowPunct/>
        <w:topLinePunct w:val="0"/>
        <w:bidi w:val="0"/>
        <w:snapToGrid w:val="0"/>
        <w:spacing w:line="360" w:lineRule="auto"/>
        <w:ind w:firstLine="0" w:firstLineChars="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第二条  合同金额</w:t>
      </w:r>
    </w:p>
    <w:p w14:paraId="4892635E">
      <w:pPr>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1、合同金额（暂定）：大写：人民币________元；小写：</w:t>
      </w: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u w:val="single"/>
        </w:rPr>
        <w:t xml:space="preserve">              </w:t>
      </w:r>
      <w:r>
        <w:rPr>
          <w:rFonts w:hint="eastAsia" w:ascii="仿宋" w:hAnsi="仿宋" w:eastAsia="仿宋" w:cs="仿宋"/>
          <w:bCs/>
          <w:color w:val="auto"/>
          <w:sz w:val="24"/>
          <w:szCs w:val="24"/>
        </w:rPr>
        <w:t>元</w:t>
      </w:r>
    </w:p>
    <w:p w14:paraId="4BFF5C82">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2、</w:t>
      </w:r>
      <w:r>
        <w:rPr>
          <w:rFonts w:hint="eastAsia" w:ascii="仿宋" w:hAnsi="仿宋" w:eastAsia="仿宋" w:cs="仿宋"/>
          <w:color w:val="auto"/>
          <w:sz w:val="24"/>
          <w:szCs w:val="24"/>
        </w:rPr>
        <w:t>分项报价表详见附件</w:t>
      </w:r>
      <w:r>
        <w:rPr>
          <w:rFonts w:hint="eastAsia" w:ascii="仿宋" w:hAnsi="仿宋" w:eastAsia="仿宋" w:cs="仿宋"/>
          <w:color w:val="auto"/>
          <w:kern w:val="2"/>
          <w:sz w:val="24"/>
          <w:szCs w:val="24"/>
        </w:rPr>
        <w:t>。</w:t>
      </w:r>
    </w:p>
    <w:p w14:paraId="42FC42DF">
      <w:pPr>
        <w:pStyle w:val="4"/>
        <w:keepNext w:val="0"/>
        <w:keepLines w:val="0"/>
        <w:pageBreakBefore w:val="0"/>
        <w:widowControl/>
        <w:wordWrap/>
        <w:overflowPunct/>
        <w:topLinePunct w:val="0"/>
        <w:bidi w:val="0"/>
        <w:snapToGrid w:val="0"/>
        <w:spacing w:after="0" w:line="360" w:lineRule="auto"/>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服务要求</w:t>
      </w:r>
    </w:p>
    <w:p w14:paraId="38DC07B5">
      <w:pPr>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color w:val="auto"/>
          <w:kern w:val="0"/>
          <w:sz w:val="24"/>
          <w:szCs w:val="24"/>
          <w:shd w:val="clear" w:color="auto" w:fill="FFFFFF"/>
        </w:rPr>
      </w:pPr>
      <w:r>
        <w:rPr>
          <w:rFonts w:hint="eastAsia" w:ascii="仿宋" w:hAnsi="仿宋" w:eastAsia="仿宋" w:cs="仿宋"/>
          <w:color w:val="auto"/>
          <w:kern w:val="0"/>
          <w:sz w:val="24"/>
          <w:szCs w:val="24"/>
          <w:shd w:val="clear" w:color="auto" w:fill="FFFFFF"/>
        </w:rPr>
        <w:t>1、</w:t>
      </w:r>
      <w:r>
        <w:rPr>
          <w:rFonts w:hint="eastAsia" w:ascii="仿宋" w:hAnsi="仿宋" w:eastAsia="仿宋" w:cs="仿宋"/>
          <w:color w:val="auto"/>
          <w:kern w:val="0"/>
          <w:sz w:val="24"/>
          <w:szCs w:val="24"/>
          <w:shd w:val="clear" w:color="auto" w:fill="FFFFFF"/>
          <w:lang w:val="en-US" w:eastAsia="zh-CN"/>
        </w:rPr>
        <w:t>2026年期间对高新区城市二次供水和农村供水进行水质检测</w:t>
      </w:r>
      <w:r>
        <w:rPr>
          <w:rFonts w:hint="eastAsia" w:ascii="仿宋" w:hAnsi="仿宋" w:eastAsia="仿宋" w:cs="仿宋"/>
          <w:color w:val="auto"/>
          <w:kern w:val="0"/>
          <w:sz w:val="24"/>
          <w:szCs w:val="24"/>
          <w:shd w:val="clear" w:color="auto" w:fill="FFFFFF"/>
        </w:rPr>
        <w:t>，主要包括对约</w:t>
      </w:r>
      <w:r>
        <w:rPr>
          <w:rFonts w:hint="eastAsia" w:ascii="仿宋" w:hAnsi="仿宋" w:eastAsia="仿宋" w:cs="仿宋"/>
          <w:color w:val="auto"/>
          <w:kern w:val="0"/>
          <w:sz w:val="24"/>
          <w:szCs w:val="24"/>
          <w:shd w:val="clear" w:color="auto" w:fill="FFFFFF"/>
          <w:lang w:val="en-US" w:eastAsia="zh-CN"/>
        </w:rPr>
        <w:t>50</w:t>
      </w:r>
      <w:r>
        <w:rPr>
          <w:rFonts w:hint="eastAsia" w:ascii="仿宋" w:hAnsi="仿宋" w:eastAsia="仿宋" w:cs="仿宋"/>
          <w:color w:val="auto"/>
          <w:kern w:val="0"/>
          <w:sz w:val="24"/>
          <w:szCs w:val="24"/>
          <w:shd w:val="clear" w:color="auto" w:fill="FFFFFF"/>
        </w:rPr>
        <w:t>家城市二次供水运行单位进行常规项目检测；对约</w:t>
      </w:r>
      <w:r>
        <w:rPr>
          <w:rFonts w:hint="eastAsia" w:ascii="仿宋" w:hAnsi="仿宋" w:eastAsia="仿宋" w:cs="仿宋"/>
          <w:color w:val="auto"/>
          <w:kern w:val="0"/>
          <w:sz w:val="24"/>
          <w:szCs w:val="24"/>
          <w:shd w:val="clear" w:color="auto" w:fill="FFFFFF"/>
          <w:lang w:val="en-US" w:eastAsia="zh-CN"/>
        </w:rPr>
        <w:t>73</w:t>
      </w:r>
      <w:r>
        <w:rPr>
          <w:rFonts w:hint="eastAsia" w:ascii="仿宋" w:hAnsi="仿宋" w:eastAsia="仿宋" w:cs="仿宋"/>
          <w:color w:val="auto"/>
          <w:kern w:val="0"/>
          <w:sz w:val="24"/>
          <w:szCs w:val="24"/>
          <w:shd w:val="clear" w:color="auto" w:fill="FFFFFF"/>
        </w:rPr>
        <w:t>处农村供水工程在丰、枯水期分别进行常规项目检测</w:t>
      </w:r>
      <w:r>
        <w:rPr>
          <w:rFonts w:hint="eastAsia" w:ascii="仿宋" w:hAnsi="仿宋" w:eastAsia="仿宋" w:cs="仿宋"/>
          <w:color w:val="auto"/>
          <w:kern w:val="0"/>
          <w:sz w:val="24"/>
          <w:szCs w:val="24"/>
          <w:shd w:val="clear" w:color="auto" w:fill="FFFFFF"/>
          <w:lang w:eastAsia="zh-CN"/>
        </w:rPr>
        <w:t>，</w:t>
      </w:r>
      <w:r>
        <w:rPr>
          <w:rFonts w:hint="eastAsia" w:ascii="仿宋" w:hAnsi="仿宋" w:eastAsia="仿宋" w:cs="仿宋"/>
          <w:color w:val="auto"/>
          <w:kern w:val="0"/>
          <w:sz w:val="24"/>
          <w:szCs w:val="24"/>
          <w:shd w:val="clear" w:color="auto" w:fill="FFFFFF"/>
          <w:lang w:val="en-US" w:eastAsia="zh-CN"/>
        </w:rPr>
        <w:t>临时性、突发性水质监测，预计安排10次</w:t>
      </w:r>
      <w:r>
        <w:rPr>
          <w:rFonts w:hint="eastAsia" w:ascii="仿宋" w:hAnsi="仿宋" w:eastAsia="仿宋" w:cs="仿宋"/>
          <w:color w:val="auto"/>
          <w:kern w:val="0"/>
          <w:sz w:val="24"/>
          <w:szCs w:val="24"/>
          <w:shd w:val="clear" w:color="auto" w:fill="FFFFFF"/>
        </w:rPr>
        <w:t>。</w:t>
      </w:r>
    </w:p>
    <w:p w14:paraId="59E6C59B">
      <w:pPr>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color w:val="auto"/>
          <w:kern w:val="0"/>
          <w:sz w:val="24"/>
          <w:szCs w:val="24"/>
          <w:shd w:val="clear" w:color="auto" w:fill="FFFFFF"/>
        </w:rPr>
      </w:pPr>
      <w:r>
        <w:rPr>
          <w:rFonts w:hint="eastAsia" w:ascii="仿宋" w:hAnsi="仿宋" w:eastAsia="仿宋" w:cs="仿宋"/>
          <w:color w:val="auto"/>
          <w:kern w:val="0"/>
          <w:sz w:val="24"/>
          <w:szCs w:val="24"/>
          <w:shd w:val="clear" w:color="auto" w:fill="FFFFFF"/>
        </w:rPr>
        <w:t>2、成果文件份数及格式要求以甲方要求为准，但成果文件应包含对成果文本的修改完善记录和最终文本。</w:t>
      </w:r>
    </w:p>
    <w:p w14:paraId="34C06886">
      <w:pPr>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color w:val="auto"/>
          <w:kern w:val="0"/>
          <w:sz w:val="24"/>
          <w:szCs w:val="24"/>
          <w:shd w:val="clear" w:color="auto" w:fill="FFFFFF"/>
        </w:rPr>
      </w:pPr>
      <w:r>
        <w:rPr>
          <w:rFonts w:hint="eastAsia" w:ascii="仿宋" w:hAnsi="仿宋" w:eastAsia="仿宋" w:cs="仿宋"/>
          <w:color w:val="auto"/>
          <w:kern w:val="0"/>
          <w:sz w:val="24"/>
          <w:szCs w:val="24"/>
          <w:shd w:val="clear" w:color="auto" w:fill="FFFFFF"/>
        </w:rPr>
        <w:t>3、取样及检测标准要按照国家标准进行测试，要求原始资料齐全，不能漏测，操作程序规范，报告结果准确可靠，按时提交检测结果报告，对检测结果保密，对所作的水质检测报告负法律责任。</w:t>
      </w:r>
    </w:p>
    <w:p w14:paraId="680B7279">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4、乙方严格按照相关质量控制规范做好所检样品质量控制工作，保证检验结果准确可靠，所有检测原始资料，包括采样单，实验记录，检测报告等检验资料至少保存五年，方便随时查询。</w:t>
      </w:r>
    </w:p>
    <w:p w14:paraId="7A0577C8">
      <w:pPr>
        <w:pStyle w:val="4"/>
        <w:keepNext w:val="0"/>
        <w:keepLines w:val="0"/>
        <w:pageBreakBefore w:val="0"/>
        <w:widowControl/>
        <w:wordWrap/>
        <w:overflowPunct/>
        <w:topLinePunct w:val="0"/>
        <w:bidi w:val="0"/>
        <w:snapToGrid w:val="0"/>
        <w:spacing w:after="0" w:line="360" w:lineRule="auto"/>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rPr>
        <w:t>第四条  服务期限及验收标准</w:t>
      </w:r>
    </w:p>
    <w:p w14:paraId="0801A611">
      <w:pPr>
        <w:keepNext w:val="0"/>
        <w:keepLines w:val="0"/>
        <w:pageBreakBefore w:val="0"/>
        <w:widowControl/>
        <w:wordWrap/>
        <w:overflowPunct/>
        <w:topLinePunct w:val="0"/>
        <w:bidi w:val="0"/>
        <w:snapToGrid w:val="0"/>
        <w:spacing w:line="360" w:lineRule="auto"/>
        <w:ind w:right="-197" w:rightChars="-94" w:firstLine="480" w:firstLineChars="200"/>
        <w:jc w:val="left"/>
        <w:rPr>
          <w:rFonts w:hint="default" w:ascii="仿宋" w:hAnsi="仿宋" w:eastAsia="仿宋" w:cs="仿宋"/>
          <w:b w:val="0"/>
          <w:bCs w:val="0"/>
          <w:color w:val="auto"/>
          <w:kern w:val="0"/>
          <w:sz w:val="24"/>
          <w:szCs w:val="24"/>
          <w:lang w:val="en-US" w:eastAsia="zh-CN"/>
        </w:rPr>
      </w:pPr>
      <w:r>
        <w:rPr>
          <w:rFonts w:hint="eastAsia" w:ascii="仿宋" w:hAnsi="仿宋" w:eastAsia="仿宋" w:cs="仿宋"/>
          <w:color w:val="auto"/>
          <w:kern w:val="0"/>
          <w:sz w:val="24"/>
          <w:szCs w:val="24"/>
        </w:rPr>
        <w:t>1、</w:t>
      </w:r>
      <w:r>
        <w:rPr>
          <w:rFonts w:hint="eastAsia" w:ascii="仿宋" w:hAnsi="仿宋" w:eastAsia="仿宋" w:cs="仿宋"/>
          <w:b w:val="0"/>
          <w:bCs w:val="0"/>
          <w:color w:val="auto"/>
          <w:kern w:val="0"/>
          <w:sz w:val="24"/>
          <w:szCs w:val="24"/>
        </w:rPr>
        <w:t xml:space="preserve">服务期限： </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eastAsia="zh-CN"/>
        </w:rPr>
        <w:t>，</w:t>
      </w:r>
      <w:r>
        <w:rPr>
          <w:rFonts w:hint="eastAsia" w:ascii="仿宋" w:hAnsi="仿宋" w:eastAsia="仿宋" w:cs="仿宋"/>
          <w:b w:val="0"/>
          <w:bCs w:val="0"/>
          <w:color w:val="auto"/>
          <w:kern w:val="0"/>
          <w:sz w:val="24"/>
          <w:szCs w:val="24"/>
          <w:u w:val="single"/>
          <w:lang w:val="en-US" w:eastAsia="zh-CN"/>
        </w:rPr>
        <w:t>自</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年</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月</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日至</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年</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月</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日止。</w:t>
      </w:r>
    </w:p>
    <w:p w14:paraId="0237F268">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2、服务地点：</w:t>
      </w:r>
      <w:r>
        <w:rPr>
          <w:rFonts w:hint="eastAsia" w:ascii="仿宋" w:hAnsi="仿宋" w:eastAsia="仿宋" w:cs="仿宋"/>
          <w:color w:val="auto"/>
          <w:kern w:val="0"/>
          <w:sz w:val="24"/>
          <w:szCs w:val="24"/>
          <w:u w:val="single"/>
        </w:rPr>
        <w:t>甲方指定地点</w:t>
      </w:r>
      <w:r>
        <w:rPr>
          <w:rFonts w:hint="eastAsia" w:ascii="仿宋" w:hAnsi="仿宋" w:eastAsia="仿宋" w:cs="仿宋"/>
          <w:color w:val="auto"/>
          <w:kern w:val="0"/>
          <w:sz w:val="24"/>
          <w:szCs w:val="24"/>
        </w:rPr>
        <w:t>。</w:t>
      </w:r>
    </w:p>
    <w:p w14:paraId="0A8CE200">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3、验收标准：</w:t>
      </w:r>
    </w:p>
    <w:p w14:paraId="050D8B59">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（1）符合国家法律法规规定的标准、磋商文件和</w:t>
      </w:r>
      <w:r>
        <w:rPr>
          <w:rFonts w:hint="eastAsia" w:ascii="仿宋" w:hAnsi="仿宋" w:eastAsia="仿宋" w:cs="仿宋"/>
          <w:color w:val="auto"/>
          <w:kern w:val="0"/>
          <w:sz w:val="24"/>
          <w:szCs w:val="24"/>
        </w:rPr>
        <w:fldChar w:fldCharType="begin"/>
      </w:r>
      <w:r>
        <w:rPr>
          <w:rFonts w:hint="eastAsia" w:ascii="仿宋" w:hAnsi="仿宋" w:eastAsia="仿宋" w:cs="仿宋"/>
          <w:color w:val="auto"/>
          <w:kern w:val="0"/>
          <w:sz w:val="24"/>
          <w:szCs w:val="24"/>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color w:val="auto"/>
          <w:kern w:val="0"/>
          <w:sz w:val="24"/>
          <w:szCs w:val="24"/>
        </w:rPr>
        <w:fldChar w:fldCharType="separate"/>
      </w:r>
      <w:r>
        <w:rPr>
          <w:rFonts w:hint="eastAsia" w:ascii="仿宋" w:hAnsi="仿宋" w:eastAsia="仿宋" w:cs="仿宋"/>
          <w:color w:val="auto"/>
          <w:kern w:val="0"/>
          <w:sz w:val="24"/>
          <w:szCs w:val="24"/>
        </w:rPr>
        <w:t>乙方</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磋商响应文件所要求的</w:t>
      </w:r>
      <w:r>
        <w:rPr>
          <w:rFonts w:hint="eastAsia" w:ascii="仿宋" w:hAnsi="仿宋" w:eastAsia="仿宋" w:cs="仿宋"/>
          <w:color w:val="auto"/>
          <w:kern w:val="0"/>
          <w:sz w:val="24"/>
          <w:szCs w:val="24"/>
        </w:rPr>
        <w:fldChar w:fldCharType="begin"/>
      </w:r>
      <w:r>
        <w:rPr>
          <w:rFonts w:hint="eastAsia" w:ascii="仿宋" w:hAnsi="仿宋" w:eastAsia="仿宋" w:cs="仿宋"/>
          <w:color w:val="auto"/>
          <w:kern w:val="0"/>
          <w:sz w:val="24"/>
          <w:szCs w:val="24"/>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color w:val="auto"/>
          <w:kern w:val="0"/>
          <w:sz w:val="24"/>
          <w:szCs w:val="24"/>
        </w:rPr>
        <w:fldChar w:fldCharType="separate"/>
      </w:r>
      <w:r>
        <w:rPr>
          <w:rFonts w:hint="eastAsia" w:ascii="仿宋" w:hAnsi="仿宋" w:eastAsia="仿宋" w:cs="仿宋"/>
          <w:color w:val="auto"/>
          <w:kern w:val="0"/>
          <w:sz w:val="24"/>
          <w:szCs w:val="24"/>
        </w:rPr>
        <w:t>技术标准</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w:t>
      </w:r>
    </w:p>
    <w:p w14:paraId="7793723B">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（2）甲方组织乙方（必要时请有关专家）进行验收，验收合格后，填写项目验收单作为对项目的最终认可。</w:t>
      </w:r>
    </w:p>
    <w:p w14:paraId="0F0D0DE9">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rPr>
        <w:t>（3）乙方向甲方提供项目实施过程中的所有资料，以便甲方日后管理。</w:t>
      </w:r>
    </w:p>
    <w:p w14:paraId="66F6EB8F">
      <w:pPr>
        <w:pStyle w:val="4"/>
        <w:keepNext w:val="0"/>
        <w:keepLines w:val="0"/>
        <w:pageBreakBefore w:val="0"/>
        <w:widowControl/>
        <w:wordWrap/>
        <w:overflowPunct/>
        <w:topLinePunct w:val="0"/>
        <w:bidi w:val="0"/>
        <w:snapToGrid w:val="0"/>
        <w:spacing w:after="0" w:line="360" w:lineRule="auto"/>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rPr>
        <w:t>第五条  付款方式及依据</w:t>
      </w:r>
    </w:p>
    <w:p w14:paraId="2B877DBC">
      <w:pPr>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1、付款方式：</w:t>
      </w:r>
      <w:r>
        <w:rPr>
          <w:rFonts w:hint="eastAsia" w:ascii="仿宋" w:hAnsi="仿宋" w:eastAsia="仿宋" w:cs="仿宋"/>
          <w:bCs/>
          <w:color w:val="auto"/>
          <w:sz w:val="24"/>
          <w:szCs w:val="24"/>
          <w:lang w:eastAsia="zh-CN"/>
        </w:rPr>
        <w:t>项目服务完成后，由</w:t>
      </w:r>
      <w:r>
        <w:rPr>
          <w:rFonts w:hint="eastAsia" w:ascii="仿宋" w:hAnsi="仿宋" w:eastAsia="仿宋" w:cs="仿宋"/>
          <w:bCs/>
          <w:color w:val="auto"/>
          <w:sz w:val="24"/>
          <w:szCs w:val="24"/>
          <w:lang w:val="en-US" w:eastAsia="zh-CN"/>
        </w:rPr>
        <w:t>甲方</w:t>
      </w:r>
      <w:r>
        <w:rPr>
          <w:rFonts w:hint="eastAsia" w:ascii="仿宋" w:hAnsi="仿宋" w:eastAsia="仿宋" w:cs="仿宋"/>
          <w:bCs/>
          <w:color w:val="auto"/>
          <w:sz w:val="24"/>
          <w:szCs w:val="24"/>
          <w:lang w:eastAsia="zh-CN"/>
        </w:rPr>
        <w:t>根据实际检测数量据实结算。</w:t>
      </w:r>
    </w:p>
    <w:p w14:paraId="60B6BB1D">
      <w:pPr>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2、</w:t>
      </w:r>
      <w:r>
        <w:rPr>
          <w:rFonts w:hint="eastAsia" w:ascii="仿宋" w:hAnsi="仿宋" w:eastAsia="仿宋" w:cs="仿宋"/>
          <w:color w:val="auto"/>
          <w:sz w:val="24"/>
          <w:szCs w:val="24"/>
        </w:rPr>
        <w:t>付款依据：磋商文件、磋商响应文件、</w:t>
      </w:r>
      <w:r>
        <w:rPr>
          <w:rFonts w:hint="eastAsia" w:ascii="仿宋" w:hAnsi="仿宋" w:eastAsia="仿宋" w:cs="仿宋"/>
          <w:bCs/>
          <w:color w:val="auto"/>
          <w:sz w:val="24"/>
          <w:szCs w:val="24"/>
          <w:lang w:val="en-US" w:eastAsia="zh-CN"/>
        </w:rPr>
        <w:t>甲方</w:t>
      </w:r>
      <w:r>
        <w:rPr>
          <w:rFonts w:hint="eastAsia" w:ascii="仿宋" w:hAnsi="仿宋" w:eastAsia="仿宋" w:cs="仿宋"/>
          <w:color w:val="auto"/>
          <w:sz w:val="24"/>
          <w:szCs w:val="24"/>
        </w:rPr>
        <w:t>出具的验收报告、等额发票。</w:t>
      </w:r>
    </w:p>
    <w:p w14:paraId="5F2A93CC">
      <w:pPr>
        <w:keepNext w:val="0"/>
        <w:keepLines w:val="0"/>
        <w:pageBreakBefore w:val="0"/>
        <w:widowControl/>
        <w:wordWrap/>
        <w:overflowPunct/>
        <w:topLinePunct w:val="0"/>
        <w:bidi w:val="0"/>
        <w:snapToGrid w:val="0"/>
        <w:spacing w:line="360" w:lineRule="auto"/>
        <w:ind w:firstLine="241" w:firstLineChars="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注：据实结算，当结算金额高于本项目预算金额时以本项目预算金额作为结算金额，当结算金额低于本项目预算金额时据实结算。</w:t>
      </w:r>
    </w:p>
    <w:p w14:paraId="75C1F621">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第六条  甲方的权利和义务</w:t>
      </w:r>
    </w:p>
    <w:p w14:paraId="79A5F4EF">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1、甲方指定专门人员负责项目对接和现场配合工作，并可对乙方工作进度和过程进行监督，但不得妨碍乙方的正常工作。</w:t>
      </w:r>
    </w:p>
    <w:p w14:paraId="4EB7030B">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2、提前向乙方披露与本项目有关的、实际上或潜在的危害或危险，包括但不限于辐射、有毒或易爆成分或材料的存在和风险。</w:t>
      </w:r>
    </w:p>
    <w:p w14:paraId="06BEBBE0">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3、按照乙方要求，提供一切技术服务所必需的条件、资料和技术文件（若甲方对检测项目有特别要求，应一并提出），并保证提供资料的真实性、完整性、合法性、有效性，以便乙方提供及时有效的技术服务。</w:t>
      </w:r>
    </w:p>
    <w:p w14:paraId="50EB2AEC">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4、按本合同约定及时向乙方支付技术服务费用。</w:t>
      </w:r>
    </w:p>
    <w:p w14:paraId="262C5E49">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5、甲方应为乙方开展现场勘查、检测工作提供相应的便利条件。</w:t>
      </w:r>
    </w:p>
    <w:p w14:paraId="2C7DF0FE">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6、如对检测结果或其他成果有异议，应于收到报告起10日内以书面形式向乙方提出。逾期未提出异议，则视为认可最终交付的成果。</w:t>
      </w:r>
    </w:p>
    <w:p w14:paraId="7066EB99">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7、技术服务成果由甲方使用，使用不当的责任与乙方无关。</w:t>
      </w:r>
    </w:p>
    <w:p w14:paraId="50F408E3">
      <w:pPr>
        <w:pStyle w:val="5"/>
        <w:keepNext w:val="0"/>
        <w:keepLines w:val="0"/>
        <w:pageBreakBefore w:val="0"/>
        <w:widowControl/>
        <w:wordWrap/>
        <w:overflowPunct/>
        <w:topLinePunct w:val="0"/>
        <w:bidi w:val="0"/>
        <w:snapToGrid w:val="0"/>
        <w:spacing w:after="0" w:line="360" w:lineRule="auto"/>
        <w:ind w:left="0" w:leftChars="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第七条  乙方的权利和义务</w:t>
      </w:r>
    </w:p>
    <w:p w14:paraId="4E3C9CA5">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1、为了便于开展技术服务，乙方可以要求甲方提供电源、人工、出入证明等协助工作，甲方未按要求提供协助致使服务期限延误或服务不达标，乙方不承担任何责任。</w:t>
      </w:r>
    </w:p>
    <w:p w14:paraId="50D82809">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2、按照合同约定承诺采用合理严谨的态度及科学准确的方法为甲方提供技术服务</w:t>
      </w:r>
      <w:r>
        <w:rPr>
          <w:rFonts w:hint="eastAsia" w:ascii="仿宋" w:hAnsi="仿宋" w:eastAsia="仿宋" w:cs="仿宋"/>
          <w:color w:val="auto"/>
          <w:kern w:val="0"/>
          <w:sz w:val="24"/>
          <w:szCs w:val="24"/>
          <w:lang w:eastAsia="zh-CN"/>
        </w:rPr>
        <w:t>。</w:t>
      </w:r>
    </w:p>
    <w:p w14:paraId="612579EA">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3、为甲方设立项目负责人，以便甲方项目由乙方专人专管，提高工作效率</w:t>
      </w:r>
      <w:r>
        <w:rPr>
          <w:rFonts w:hint="eastAsia" w:ascii="仿宋" w:hAnsi="仿宋" w:eastAsia="仿宋" w:cs="仿宋"/>
          <w:color w:val="auto"/>
          <w:kern w:val="0"/>
          <w:sz w:val="24"/>
          <w:szCs w:val="24"/>
          <w:lang w:eastAsia="zh-CN"/>
        </w:rPr>
        <w:t>。</w:t>
      </w:r>
    </w:p>
    <w:p w14:paraId="1ECA05F5">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kern w:val="0"/>
          <w:sz w:val="24"/>
          <w:szCs w:val="24"/>
        </w:rPr>
        <w:t>乙方项目负责人：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，联系电话：</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509EE7FE">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4、按照合同内容要求甲方按期支付服务费用。</w:t>
      </w:r>
    </w:p>
    <w:p w14:paraId="6F394938">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5、就技术服务的有关内容，接受甲方的咨询。</w:t>
      </w:r>
    </w:p>
    <w:p w14:paraId="61B7DEB3">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6、乙方正常开展技术服务工作所需费用，均包含在</w:t>
      </w:r>
      <w:r>
        <w:rPr>
          <w:rFonts w:hint="eastAsia" w:ascii="仿宋" w:hAnsi="仿宋" w:eastAsia="仿宋" w:cs="仿宋"/>
          <w:color w:val="auto"/>
          <w:sz w:val="24"/>
          <w:szCs w:val="24"/>
        </w:rPr>
        <w:t>磋商报价</w:t>
      </w:r>
      <w:r>
        <w:rPr>
          <w:rFonts w:hint="eastAsia" w:ascii="仿宋" w:hAnsi="仿宋" w:eastAsia="仿宋" w:cs="仿宋"/>
          <w:color w:val="auto"/>
          <w:kern w:val="0"/>
          <w:sz w:val="24"/>
          <w:szCs w:val="24"/>
        </w:rPr>
        <w:t>中，由于甲方原因导致乙方超出合同范围工作所产生的费用由甲方承担。</w:t>
      </w:r>
    </w:p>
    <w:p w14:paraId="3B3B59B3">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乙方对样品进行检测后出具的报告仅对被测样品负责。在任何情况下，乙方的责任不能超出乙方对样品作出的检测报告的范围。乙方有责任根据样品有效期对样品进行保管，在此期间，若因乙方过错导致样品丢失所造成的一切损失由乙方承担。</w:t>
      </w:r>
    </w:p>
    <w:p w14:paraId="3D535425">
      <w:pPr>
        <w:pStyle w:val="5"/>
        <w:keepNext w:val="0"/>
        <w:keepLines w:val="0"/>
        <w:pageBreakBefore w:val="0"/>
        <w:widowControl/>
        <w:wordWrap/>
        <w:overflowPunct/>
        <w:topLinePunct w:val="0"/>
        <w:bidi w:val="0"/>
        <w:snapToGrid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8、乙方承担现场水质检测的责任和风险以及服务期间的一切费用，由于现场水质检测而发生的人身伤、财产或其他损失，由乙方自行承担。</w:t>
      </w:r>
    </w:p>
    <w:p w14:paraId="5EFC8DB9">
      <w:pPr>
        <w:pStyle w:val="5"/>
        <w:keepNext w:val="0"/>
        <w:keepLines w:val="0"/>
        <w:pageBreakBefore w:val="0"/>
        <w:widowControl/>
        <w:wordWrap/>
        <w:overflowPunct/>
        <w:topLinePunct w:val="0"/>
        <w:bidi w:val="0"/>
        <w:snapToGrid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乙方必须遵循安全作业和文明作业的规定，在履行本合同的过程中，采取严格的安全防范措施。在服务过程中发生的一切人身伤亡事故及其他损害，由乙方自行承担所有责任。若造成甲方因此而承担有关法律责任，乙方除应赔偿因此造成的一切损失外</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甲方有权单方面解除本合同。</w:t>
      </w:r>
    </w:p>
    <w:p w14:paraId="5F0599FD">
      <w:pPr>
        <w:pStyle w:val="5"/>
        <w:keepNext w:val="0"/>
        <w:keepLines w:val="0"/>
        <w:pageBreakBefore w:val="0"/>
        <w:widowControl/>
        <w:wordWrap/>
        <w:overflowPunct/>
        <w:topLinePunct w:val="0"/>
        <w:bidi w:val="0"/>
        <w:snapToGrid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10、乙方定期按照国家规定要求对试验检测仪器设备进行校验校准，客观、公正、科学、实事求是的按照合同要求进行试验检测，确保检测数据的真实性、可靠性。对所检测内容和结果负全部技术责任。</w:t>
      </w:r>
    </w:p>
    <w:p w14:paraId="34077917">
      <w:pPr>
        <w:pStyle w:val="5"/>
        <w:keepNext w:val="0"/>
        <w:keepLines w:val="0"/>
        <w:pageBreakBefore w:val="0"/>
        <w:widowControl/>
        <w:wordWrap/>
        <w:overflowPunct/>
        <w:topLinePunct w:val="0"/>
        <w:bidi w:val="0"/>
        <w:snapToGrid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11、乙方需保证本成果或其授予的权利不会侵犯任何第三人的知识产权或其他权利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也没有其他针对乙方拥有本成果权利的未决诉讼，或甲方行使乙方所提供的成果权利会侵犯任何第三人的合法权利。</w:t>
      </w:r>
    </w:p>
    <w:p w14:paraId="697AEC10">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color w:val="auto"/>
          <w:kern w:val="0"/>
          <w:sz w:val="24"/>
          <w:szCs w:val="24"/>
        </w:rPr>
      </w:pPr>
      <w:r>
        <w:rPr>
          <w:rFonts w:hint="eastAsia" w:ascii="仿宋" w:hAnsi="仿宋" w:eastAsia="仿宋" w:cs="仿宋"/>
          <w:b/>
          <w:bCs/>
          <w:color w:val="auto"/>
          <w:kern w:val="0"/>
          <w:sz w:val="24"/>
          <w:szCs w:val="24"/>
        </w:rPr>
        <w:t>第八条  甲乙双方的违约责任</w:t>
      </w:r>
    </w:p>
    <w:p w14:paraId="6BD817E4">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1、甲乙双方在合同生效后，如果任意一方未经协商或不以合同为依据而单方面擅自解除合同，提出解除合同的一方需要支付</w:t>
      </w:r>
      <w:r>
        <w:rPr>
          <w:rFonts w:hint="eastAsia" w:ascii="仿宋" w:hAnsi="仿宋" w:eastAsia="仿宋" w:cs="仿宋"/>
          <w:color w:val="auto"/>
          <w:kern w:val="0"/>
          <w:sz w:val="24"/>
          <w:szCs w:val="24"/>
          <w:u w:val="single"/>
          <w:lang w:val="en-US" w:eastAsia="zh-CN"/>
        </w:rPr>
        <w:t>10000</w:t>
      </w:r>
      <w:r>
        <w:rPr>
          <w:rFonts w:hint="eastAsia" w:ascii="仿宋" w:hAnsi="仿宋" w:eastAsia="仿宋" w:cs="仿宋"/>
          <w:color w:val="auto"/>
          <w:kern w:val="0"/>
          <w:sz w:val="24"/>
          <w:szCs w:val="24"/>
        </w:rPr>
        <w:t>元作为违约金：</w:t>
      </w:r>
    </w:p>
    <w:p w14:paraId="72F7CA7A">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若甲方违约，在此过程中乙方所产生的服务费用由甲方承担，并支付违约金给乙方</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若乙方违约，则需向甲方退还所有服务费用，并支付违约金给甲方。</w:t>
      </w:r>
    </w:p>
    <w:p w14:paraId="0B1D7A17">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2、甲方在乙方技术服务工作完成后单方面终止合同的，应当向乙方支付全额的服务费用。</w:t>
      </w:r>
    </w:p>
    <w:p w14:paraId="652A3095">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4"/>
          <w:szCs w:val="24"/>
        </w:rPr>
      </w:pPr>
      <w:r>
        <w:rPr>
          <w:rFonts w:hint="eastAsia" w:ascii="仿宋" w:hAnsi="仿宋" w:eastAsia="仿宋" w:cs="仿宋"/>
          <w:color w:val="auto"/>
          <w:sz w:val="24"/>
          <w:szCs w:val="24"/>
        </w:rPr>
        <w:t>3、任何一方违反本合同的约定，应承担由此引起的一切经济损失及法律责任（包括但不限于守约方的经济损失、律师费、诉讼费等为实现债权产生的一切费用）。</w:t>
      </w:r>
    </w:p>
    <w:p w14:paraId="39FB350B">
      <w:pPr>
        <w:pStyle w:val="10"/>
        <w:keepNext w:val="0"/>
        <w:keepLines w:val="0"/>
        <w:pageBreakBefore w:val="0"/>
        <w:widowControl/>
        <w:wordWrap/>
        <w:overflowPunct/>
        <w:topLinePunct w:val="0"/>
        <w:bidi w:val="0"/>
        <w:snapToGrid w:val="0"/>
        <w:spacing w:line="360" w:lineRule="auto"/>
        <w:ind w:firstLine="0" w:firstLineChars="0"/>
        <w:rPr>
          <w:rFonts w:hint="eastAsia" w:ascii="仿宋" w:hAnsi="仿宋" w:eastAsia="仿宋" w:cs="仿宋"/>
          <w:b/>
          <w:bCs/>
          <w:color w:val="auto"/>
          <w:sz w:val="24"/>
          <w:szCs w:val="24"/>
        </w:rPr>
      </w:pPr>
      <w:r>
        <w:rPr>
          <w:rFonts w:hint="eastAsia" w:ascii="仿宋" w:hAnsi="仿宋" w:eastAsia="仿宋" w:cs="仿宋"/>
          <w:b/>
          <w:bCs/>
          <w:color w:val="auto"/>
          <w:sz w:val="24"/>
          <w:szCs w:val="24"/>
        </w:rPr>
        <w:t>第九条  合同变更与终止</w:t>
      </w:r>
    </w:p>
    <w:p w14:paraId="638C890C">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1、合同期间任何一方不得随意终止合同。</w:t>
      </w:r>
    </w:p>
    <w:p w14:paraId="47BDE6F6">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2、本合同规定的履行期限届满，合同自动终止。</w:t>
      </w:r>
    </w:p>
    <w:p w14:paraId="34BF9732">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3、因双方机构撤并、职能调整等原因，确需终止合同的，双方可协商终止合同。</w:t>
      </w:r>
    </w:p>
    <w:p w14:paraId="37C61AE9">
      <w:pPr>
        <w:keepNext w:val="0"/>
        <w:keepLines w:val="0"/>
        <w:pageBreakBefore w:val="0"/>
        <w:widowControl/>
        <w:wordWrap/>
        <w:overflowPunct/>
        <w:topLinePunct w:val="0"/>
        <w:bidi w:val="0"/>
        <w:adjustRightInd w:val="0"/>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4、乙方应自觉遵守甲方工作纪律、规章制度，服从甲方管理。因乙方原因给甲方造成严重后果，甲方可以单方面解除合同。</w:t>
      </w:r>
    </w:p>
    <w:p w14:paraId="26FAA01A">
      <w:pPr>
        <w:pStyle w:val="5"/>
        <w:keepNext w:val="0"/>
        <w:keepLines w:val="0"/>
        <w:pageBreakBefore w:val="0"/>
        <w:widowControl/>
        <w:wordWrap/>
        <w:overflowPunct/>
        <w:topLinePunct w:val="0"/>
        <w:bidi w:val="0"/>
        <w:snapToGrid w:val="0"/>
        <w:spacing w:after="0" w:line="360" w:lineRule="auto"/>
        <w:ind w:left="0" w:leftChars="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第十条  保密约定</w:t>
      </w:r>
    </w:p>
    <w:p w14:paraId="471AF4FF">
      <w:pPr>
        <w:pStyle w:val="5"/>
        <w:keepNext w:val="0"/>
        <w:keepLines w:val="0"/>
        <w:pageBreakBefore w:val="0"/>
        <w:widowControl/>
        <w:wordWrap/>
        <w:overflowPunct/>
        <w:topLinePunct w:val="0"/>
        <w:bidi w:val="0"/>
        <w:snapToGrid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5DC320CE">
      <w:pPr>
        <w:keepNext w:val="0"/>
        <w:keepLines w:val="0"/>
        <w:pageBreakBefore w:val="0"/>
        <w:widowControl/>
        <w:numPr>
          <w:ilvl w:val="0"/>
          <w:numId w:val="1"/>
        </w:numPr>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 xml:space="preserve">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b/>
          <w:bCs/>
          <w:color w:val="auto"/>
          <w:kern w:val="0"/>
          <w:sz w:val="24"/>
          <w:szCs w:val="24"/>
        </w:rPr>
        <w:t>不可抗力</w:t>
      </w:r>
      <w:r>
        <w:rPr>
          <w:rFonts w:hint="eastAsia" w:ascii="仿宋" w:hAnsi="仿宋" w:eastAsia="仿宋" w:cs="仿宋"/>
          <w:b/>
          <w:bCs/>
          <w:color w:val="auto"/>
          <w:kern w:val="0"/>
          <w:sz w:val="24"/>
          <w:szCs w:val="24"/>
        </w:rPr>
        <w:fldChar w:fldCharType="end"/>
      </w:r>
    </w:p>
    <w:p w14:paraId="0A32B7E1">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甲乙双方任何一方由于</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kern w:val="0"/>
          <w:sz w:val="24"/>
          <w:szCs w:val="24"/>
        </w:rPr>
        <w:t>不可抗力</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原因不能履行合同时，应及时向对</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kern w:val="0"/>
          <w:sz w:val="24"/>
          <w:szCs w:val="24"/>
        </w:rPr>
        <w:t>方通</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kern w:val="0"/>
          <w:sz w:val="24"/>
          <w:szCs w:val="24"/>
        </w:rPr>
        <w:t>违约责任</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w:t>
      </w:r>
    </w:p>
    <w:p w14:paraId="68E4F3B1">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第十二条  争议解决</w:t>
      </w:r>
    </w:p>
    <w:p w14:paraId="5B3C9CE9">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双方本着友好合作的态度,对合同履行过程中发生的</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"http://set2.mail.qq.com/cgi-bin/mail_spam?action=check_link&amp;spam=0&amp;url=http%3A%2F%2Fbaike%2Ebaidu%2Ecom%2Fview%2F322875%2Ehtm" </w:instrText>
      </w:r>
      <w:r>
        <w:rPr>
          <w:rFonts w:hint="eastAsia" w:ascii="仿宋" w:hAnsi="仿宋" w:eastAsia="仿宋" w:cs="仿宋"/>
          <w:color w:val="auto"/>
          <w:sz w:val="24"/>
          <w:szCs w:val="24"/>
        </w:rPr>
        <w:fldChar w:fldCharType="separate"/>
      </w:r>
      <w:r>
        <w:rPr>
          <w:rFonts w:hint="eastAsia" w:ascii="仿宋" w:hAnsi="仿宋" w:eastAsia="仿宋" w:cs="仿宋"/>
          <w:color w:val="auto"/>
          <w:kern w:val="0"/>
          <w:sz w:val="24"/>
          <w:szCs w:val="24"/>
        </w:rPr>
        <w:t>纠纷</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应及时协商解决,协商不成，向甲方所在地人民法院诉讼解决。</w:t>
      </w:r>
    </w:p>
    <w:p w14:paraId="0A44EF8B">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第十三条  监督和管理</w:t>
      </w:r>
    </w:p>
    <w:p w14:paraId="1D329EF3">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D0D185C">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2、甲乙双方均应自觉配合有关监督管理部门对合同履行情况的监督检查，如实反映情况，提供有关资料；否则，将对有关单位、当事人按照有关规定予以处罚。</w:t>
      </w:r>
    </w:p>
    <w:p w14:paraId="49BD6819">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 xml:space="preserve">第十四条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b/>
          <w:bCs/>
          <w:color w:val="auto"/>
          <w:kern w:val="0"/>
          <w:sz w:val="24"/>
          <w:szCs w:val="24"/>
        </w:rPr>
        <w:t>无效合同</w:t>
      </w:r>
      <w:r>
        <w:rPr>
          <w:rFonts w:hint="eastAsia" w:ascii="仿宋" w:hAnsi="仿宋" w:eastAsia="仿宋" w:cs="仿宋"/>
          <w:b/>
          <w:bCs/>
          <w:color w:val="auto"/>
          <w:kern w:val="0"/>
          <w:sz w:val="24"/>
          <w:szCs w:val="24"/>
        </w:rPr>
        <w:fldChar w:fldCharType="end"/>
      </w:r>
    </w:p>
    <w:p w14:paraId="24DFDCB5">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甲乙双方如因违反政府采购法及相关法律法规的规定，被宣告</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kern w:val="0"/>
          <w:sz w:val="24"/>
          <w:szCs w:val="24"/>
        </w:rPr>
        <w:t>合同无效</w:t>
      </w:r>
      <w:r>
        <w:rPr>
          <w:rFonts w:hint="eastAsia" w:ascii="仿宋" w:hAnsi="仿宋" w:eastAsia="仿宋" w:cs="仿宋"/>
          <w:color w:val="auto"/>
          <w:kern w:val="0"/>
          <w:sz w:val="24"/>
          <w:szCs w:val="24"/>
        </w:rPr>
        <w:fldChar w:fldCharType="end"/>
      </w:r>
      <w:r>
        <w:rPr>
          <w:rFonts w:hint="eastAsia" w:ascii="仿宋" w:hAnsi="仿宋" w:eastAsia="仿宋" w:cs="仿宋"/>
          <w:color w:val="auto"/>
          <w:kern w:val="0"/>
          <w:sz w:val="24"/>
          <w:szCs w:val="24"/>
        </w:rPr>
        <w:t>的，一切责任概由过错方自行承担。</w:t>
      </w:r>
    </w:p>
    <w:p w14:paraId="1D287CB4">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第十五条  信用融资（如有）</w:t>
      </w:r>
    </w:p>
    <w:p w14:paraId="2F76EB37">
      <w:pPr>
        <w:keepNext w:val="0"/>
        <w:keepLines w:val="0"/>
        <w:pageBreakBefore w:val="0"/>
        <w:widowControl/>
        <w:wordWrap/>
        <w:overflowPunct/>
        <w:topLinePunct w:val="0"/>
        <w:bidi w:val="0"/>
        <w:snapToGrid w:val="0"/>
        <w:spacing w:line="360" w:lineRule="auto"/>
        <w:ind w:right="-197" w:rightChars="-94"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银行名称：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，收款账号：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43257CD4">
      <w:pPr>
        <w:keepNext w:val="0"/>
        <w:keepLines w:val="0"/>
        <w:pageBreakBefore w:val="0"/>
        <w:widowControl/>
        <w:wordWrap/>
        <w:overflowPunct/>
        <w:topLinePunct w:val="0"/>
        <w:bidi w:val="0"/>
        <w:snapToGrid w:val="0"/>
        <w:spacing w:line="360" w:lineRule="auto"/>
        <w:ind w:right="-197" w:rightChars="-94"/>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第十六条  附则</w:t>
      </w:r>
    </w:p>
    <w:p w14:paraId="64F9FA02">
      <w:pPr>
        <w:pStyle w:val="6"/>
        <w:keepNext w:val="0"/>
        <w:keepLines w:val="0"/>
        <w:pageBreakBefore w:val="0"/>
        <w:widowControl/>
        <w:wordWrap/>
        <w:overflowPunct/>
        <w:topLinePunct w:val="0"/>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项目（项目编号：</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）磋商文件、成交通知书、乙方磋商响应文件及澄清说明文件都是本合同的组成部分，甲、乙双方必须全面遵守，如有违反，应承担违约责任。</w:t>
      </w:r>
    </w:p>
    <w:p w14:paraId="0925235A">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4"/>
          <w:szCs w:val="24"/>
        </w:rPr>
      </w:pPr>
      <w:r>
        <w:rPr>
          <w:rFonts w:hint="eastAsia" w:ascii="仿宋" w:hAnsi="仿宋" w:eastAsia="仿宋" w:cs="仿宋"/>
          <w:color w:val="auto"/>
          <w:sz w:val="24"/>
          <w:szCs w:val="24"/>
        </w:rPr>
        <w:t>2、本合同未尽事宜，双方共同协商达成补充协议，补充协议和附件与本合同具有同等法律效力。</w:t>
      </w:r>
    </w:p>
    <w:p w14:paraId="6816FD76">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4"/>
          <w:szCs w:val="24"/>
        </w:rPr>
      </w:pPr>
      <w:r>
        <w:rPr>
          <w:rFonts w:hint="eastAsia" w:ascii="仿宋" w:hAnsi="仿宋" w:eastAsia="仿宋" w:cs="仿宋"/>
          <w:color w:val="auto"/>
          <w:sz w:val="24"/>
          <w:szCs w:val="24"/>
        </w:rPr>
        <w:t>3、本合同一式五份,甲乙双方各执两份</w:t>
      </w:r>
      <w:r>
        <w:rPr>
          <w:rFonts w:hint="eastAsia" w:ascii="仿宋" w:hAnsi="仿宋" w:eastAsia="仿宋" w:cs="仿宋"/>
          <w:color w:val="auto"/>
          <w:kern w:val="2"/>
          <w:sz w:val="24"/>
          <w:szCs w:val="24"/>
        </w:rPr>
        <w:t>,政府采购代理机构一份。</w:t>
      </w:r>
    </w:p>
    <w:p w14:paraId="338F65E7">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4"/>
          <w:szCs w:val="24"/>
        </w:rPr>
      </w:pPr>
      <w:r>
        <w:rPr>
          <w:rFonts w:hint="eastAsia" w:ascii="仿宋" w:hAnsi="仿宋" w:eastAsia="仿宋" w:cs="仿宋"/>
          <w:color w:val="auto"/>
          <w:sz w:val="24"/>
          <w:szCs w:val="24"/>
        </w:rPr>
        <w:t>4、本合同自签订之日起生效。</w:t>
      </w:r>
    </w:p>
    <w:p w14:paraId="6531B8B9">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5、附件：</w:t>
      </w:r>
    </w:p>
    <w:p w14:paraId="5425257F">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kern w:val="2"/>
          <w:sz w:val="24"/>
          <w:szCs w:val="24"/>
        </w:rPr>
      </w:pPr>
    </w:p>
    <w:p w14:paraId="15459774">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kern w:val="2"/>
          <w:sz w:val="24"/>
          <w:szCs w:val="24"/>
        </w:rPr>
      </w:pPr>
    </w:p>
    <w:p w14:paraId="6C9F60D1">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 xml:space="preserve">采购人(甲方)：        （公章）  </w:t>
      </w:r>
      <w:r>
        <w:rPr>
          <w:rFonts w:hint="eastAsia" w:ascii="仿宋" w:hAnsi="仿宋" w:eastAsia="仿宋" w:cs="仿宋"/>
          <w:bCs/>
          <w:color w:val="auto"/>
          <w:sz w:val="24"/>
          <w:szCs w:val="24"/>
          <w:lang w:val="en-US" w:eastAsia="zh-CN" w:bidi="ar"/>
        </w:rPr>
        <w:t>供应商</w:t>
      </w:r>
      <w:r>
        <w:rPr>
          <w:rFonts w:hint="eastAsia" w:ascii="仿宋" w:hAnsi="仿宋" w:eastAsia="仿宋" w:cs="仿宋"/>
          <w:color w:val="auto"/>
          <w:sz w:val="24"/>
          <w:szCs w:val="24"/>
        </w:rPr>
        <w:t>(乙方)：          （公章）</w:t>
      </w:r>
    </w:p>
    <w:p w14:paraId="7C35B376">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法定代表人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法定代表人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 xml:space="preserve">                  </w:t>
      </w:r>
    </w:p>
    <w:p w14:paraId="293E09B6">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或</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委托代理人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    （签字或盖章）或</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委托代理人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    （签字或盖章）</w:t>
      </w:r>
    </w:p>
    <w:p w14:paraId="76892ADF">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开户银行</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 xml:space="preserve">：                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开户银行</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               .</w:t>
      </w:r>
    </w:p>
    <w:p w14:paraId="17A27D68">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账    号：                     账    号：               .</w:t>
      </w:r>
    </w:p>
    <w:p w14:paraId="6FCE8363">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电    话：                     电    话：               .</w:t>
      </w:r>
    </w:p>
    <w:p w14:paraId="67662B10">
      <w:pPr>
        <w:keepNext w:val="0"/>
        <w:keepLines w:val="0"/>
        <w:pageBreakBefore w:val="0"/>
        <w:widowControl/>
        <w:wordWrap/>
        <w:overflowPunct/>
        <w:topLinePunct w:val="0"/>
        <w:bidi w:val="0"/>
        <w:snapToGrid w:val="0"/>
        <w:spacing w:line="360"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地    址：                     地    址：                .</w:t>
      </w:r>
    </w:p>
    <w:p w14:paraId="7387620E">
      <w:pPr>
        <w:keepNext w:val="0"/>
        <w:keepLines w:val="0"/>
        <w:pageBreakBefore w:val="0"/>
        <w:widowControl/>
        <w:wordWrap/>
        <w:overflowPunct/>
        <w:topLinePunct w:val="0"/>
        <w:bidi w:val="0"/>
        <w:snapToGrid w:val="0"/>
        <w:spacing w:line="360" w:lineRule="auto"/>
        <w:ind w:firstLine="240" w:firstLineChars="100"/>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时    间：  年月日         时    间： 年月</w:t>
      </w:r>
      <w:r>
        <w:rPr>
          <w:rFonts w:hint="eastAsia" w:ascii="仿宋" w:hAnsi="仿宋" w:eastAsia="仿宋" w:cs="仿宋"/>
          <w:color w:val="auto"/>
          <w:sz w:val="24"/>
          <w:szCs w:val="24"/>
          <w:lang w:val="en-US" w:eastAsia="zh-CN"/>
        </w:rPr>
        <w:t>日</w:t>
      </w:r>
    </w:p>
    <w:p w14:paraId="6AD2E4D2">
      <w:pPr>
        <w:outlineLvl w:val="9"/>
        <w:rPr>
          <w:rFonts w:hint="eastAsia" w:ascii="仿宋" w:hAnsi="仿宋" w:eastAsia="仿宋" w:cs="仿宋"/>
          <w:color w:val="auto"/>
          <w:sz w:val="24"/>
          <w:szCs w:val="24"/>
          <w:lang w:val="en-US" w:eastAsia="zh-CN"/>
        </w:rPr>
      </w:pPr>
    </w:p>
    <w:p w14:paraId="2F5019FC">
      <w:pPr>
        <w:keepNext w:val="0"/>
        <w:keepLines w:val="0"/>
        <w:pageBreakBefore w:val="0"/>
        <w:widowControl/>
        <w:kinsoku/>
        <w:wordWrap/>
        <w:overflowPunct w:val="0"/>
        <w:topLinePunct w:val="0"/>
        <w:bidi w:val="0"/>
        <w:snapToGrid w:val="0"/>
        <w:spacing w:line="360" w:lineRule="auto"/>
        <w:ind w:right="0" w:rightChars="0"/>
        <w:rPr>
          <w:rFonts w:hint="eastAsia" w:ascii="仿宋" w:hAnsi="仿宋" w:eastAsia="仿宋" w:cs="仿宋"/>
          <w:color w:val="auto"/>
          <w:sz w:val="24"/>
          <w:szCs w:val="24"/>
        </w:rPr>
      </w:pPr>
    </w:p>
    <w:p w14:paraId="03688392">
      <w:pPr>
        <w:keepNext w:val="0"/>
        <w:keepLines w:val="0"/>
        <w:pageBreakBefore w:val="0"/>
        <w:widowControl/>
        <w:kinsoku/>
        <w:wordWrap/>
        <w:overflowPunct w:val="0"/>
        <w:topLinePunct w:val="0"/>
        <w:bidi w:val="0"/>
        <w:snapToGrid w:val="0"/>
        <w:spacing w:line="360" w:lineRule="auto"/>
        <w:ind w:right="0" w:rightChars="0"/>
        <w:rPr>
          <w:rFonts w:hint="eastAsia" w:ascii="仿宋" w:hAnsi="仿宋" w:eastAsia="仿宋" w:cs="仿宋"/>
          <w:color w:val="auto"/>
          <w:sz w:val="24"/>
          <w:szCs w:val="24"/>
        </w:rPr>
      </w:pPr>
    </w:p>
    <w:p w14:paraId="1D00E36D">
      <w:pPr>
        <w:keepNext w:val="0"/>
        <w:keepLines w:val="0"/>
        <w:pageBreakBefore w:val="0"/>
        <w:widowControl/>
        <w:kinsoku/>
        <w:wordWrap/>
        <w:overflowPunct w:val="0"/>
        <w:topLinePunct w:val="0"/>
        <w:bidi w:val="0"/>
        <w:snapToGrid w:val="0"/>
        <w:spacing w:line="360" w:lineRule="auto"/>
        <w:ind w:right="0" w:rightChars="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rPr>
        <w:t>附件</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分项报价表</w:t>
      </w:r>
    </w:p>
    <w:p w14:paraId="2443ED49">
      <w:bookmarkStart w:id="0" w:name="_GoBack"/>
      <w:bookmarkEnd w:id="0"/>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0E555B"/>
    <w:multiLevelType w:val="singleLevel"/>
    <w:tmpl w:val="470E555B"/>
    <w:lvl w:ilvl="0" w:tentative="0">
      <w:start w:val="1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EA482C"/>
    <w:rsid w:val="14EA4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 w:type="paragraph" w:styleId="5">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6">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2026-06-03T04:34:00Z</dcterms:created>
  <dc:creator>七安</dc:creator>
  <cp:lastModifiedBy>七安</cp:lastModifiedBy>
  <dcterms:modified xsi:type="dcterms:W3CDTF">2026-06-03T04:34:21Z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7246F34BF2FB4F96B1812E94EF603F5B_11</vt:lpwstr>
  </property>
  <property fmtid="{D5CDD505-2E9C-101B-9397-08002B2CF9AE}" pid="4" name="KSOTemplateDocerSaveRecord">
    <vt:lpwstr>eyJoZGlkIjoiYTNjODljY2I4NDIwMDBiNmUwYjUxZTZlNmE1NzJmOTgiLCJ1c2VySWQiOiI2ODY0MTEyNzMifQ==</vt:lpwstr>
  </property>
</Properties>
</file>